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В обзорной статье представлены обновленные европейские рекомендации по ведению пациентов с </w:t>
      </w:r>
      <w:proofErr w:type="spellStart"/>
      <w:r>
        <w:rPr>
          <w:rFonts w:ascii="DINPro" w:hAnsi="DINPro" w:cs="DINPro"/>
          <w:sz w:val="18"/>
          <w:szCs w:val="18"/>
        </w:rPr>
        <w:t>желу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дочковыми</w:t>
      </w:r>
      <w:proofErr w:type="spellEnd"/>
      <w:r>
        <w:rPr>
          <w:rFonts w:ascii="DINPro" w:hAnsi="DINPro" w:cs="DINPro"/>
          <w:sz w:val="18"/>
          <w:szCs w:val="18"/>
        </w:rPr>
        <w:t xml:space="preserve"> аритмиями (ЖА) и профилактике внезапной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сердечной смерти (ВСС). Новое понимание </w:t>
      </w:r>
      <w:proofErr w:type="spellStart"/>
      <w:r>
        <w:rPr>
          <w:rFonts w:ascii="DINPro" w:hAnsi="DINPro" w:cs="DINPro"/>
          <w:sz w:val="18"/>
          <w:szCs w:val="18"/>
        </w:rPr>
        <w:t>эпидемио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логии ВСС, современные представления о генетике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визуализации и большой объем клинических данных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для стратификации риска ЖА и ВСС, а также достижения в диагностической оценке и терапевтических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стратегиях способствовали пересмотру предшествующих рекомендаций. В данных рекомендациях ведущая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роль отводится генетическим анализам, инвазивным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и </w:t>
      </w:r>
      <w:proofErr w:type="spellStart"/>
      <w:r>
        <w:rPr>
          <w:rFonts w:ascii="DINPro" w:hAnsi="DINPro" w:cs="DINPro"/>
          <w:sz w:val="18"/>
          <w:szCs w:val="18"/>
        </w:rPr>
        <w:t>неинвазивным</w:t>
      </w:r>
      <w:proofErr w:type="spellEnd"/>
      <w:r>
        <w:rPr>
          <w:rFonts w:ascii="DINPro" w:hAnsi="DINPro" w:cs="DINPro"/>
          <w:sz w:val="18"/>
          <w:szCs w:val="18"/>
        </w:rPr>
        <w:t xml:space="preserve"> методам диагностики, таким как </w:t>
      </w:r>
      <w:proofErr w:type="spellStart"/>
      <w:r>
        <w:rPr>
          <w:rFonts w:ascii="DINPro" w:hAnsi="DINPro" w:cs="DINPro"/>
          <w:sz w:val="18"/>
          <w:szCs w:val="18"/>
        </w:rPr>
        <w:t>элек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трофизиологическое</w:t>
      </w:r>
      <w:proofErr w:type="spellEnd"/>
      <w:r>
        <w:rPr>
          <w:rFonts w:ascii="DINPro" w:hAnsi="DINPro" w:cs="DINPro"/>
          <w:sz w:val="18"/>
          <w:szCs w:val="18"/>
        </w:rPr>
        <w:t xml:space="preserve"> исследование, программированная электрическая стимуляция сердца, магнитно-</w:t>
      </w:r>
      <w:proofErr w:type="spellStart"/>
      <w:r>
        <w:rPr>
          <w:rFonts w:ascii="DINPro" w:hAnsi="DINPro" w:cs="DINPro"/>
          <w:sz w:val="18"/>
          <w:szCs w:val="18"/>
        </w:rPr>
        <w:t>резо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нансная</w:t>
      </w:r>
      <w:proofErr w:type="spellEnd"/>
      <w:r>
        <w:rPr>
          <w:rFonts w:ascii="DINPro" w:hAnsi="DINPro" w:cs="DINPro"/>
          <w:sz w:val="18"/>
          <w:szCs w:val="18"/>
        </w:rPr>
        <w:t xml:space="preserve"> томография. В плане профилактики лечения во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главу угла поставлены рекомендации по расширению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общеобразовательной системы обучения населения</w:t>
      </w:r>
      <w:r>
        <w:rPr>
          <w:rFonts w:ascii="DINPro" w:hAnsi="DINPro" w:cs="DINPro"/>
          <w:sz w:val="18"/>
          <w:szCs w:val="18"/>
        </w:rPr>
        <w:t xml:space="preserve">, </w:t>
      </w:r>
      <w:r>
        <w:rPr>
          <w:rFonts w:ascii="DINPro" w:hAnsi="DINPro" w:cs="DINPro"/>
          <w:sz w:val="18"/>
          <w:szCs w:val="18"/>
        </w:rPr>
        <w:t>принципам оказаний первой медицинской помощи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лицам с внезапной остановкой сердца и обеспечению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доступности внебольничной </w:t>
      </w:r>
      <w:proofErr w:type="spellStart"/>
      <w:r>
        <w:rPr>
          <w:rFonts w:ascii="DINPro" w:hAnsi="DINPro" w:cs="DINPro"/>
          <w:sz w:val="18"/>
          <w:szCs w:val="18"/>
        </w:rPr>
        <w:t>дефибрилляции</w:t>
      </w:r>
      <w:proofErr w:type="spellEnd"/>
      <w:r>
        <w:rPr>
          <w:rFonts w:ascii="DINPro" w:hAnsi="DINPro" w:cs="DINPro"/>
          <w:sz w:val="18"/>
          <w:szCs w:val="18"/>
        </w:rPr>
        <w:t xml:space="preserve"> сердца.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Значительно расширились показания для бета-адреноблокаторов, </w:t>
      </w:r>
      <w:proofErr w:type="spellStart"/>
      <w:r>
        <w:rPr>
          <w:rFonts w:ascii="DINPro" w:hAnsi="DINPro" w:cs="DINPro"/>
          <w:sz w:val="18"/>
          <w:szCs w:val="18"/>
        </w:rPr>
        <w:t>флекаинида</w:t>
      </w:r>
      <w:proofErr w:type="spellEnd"/>
      <w:r>
        <w:rPr>
          <w:rFonts w:ascii="DINPro" w:hAnsi="DINPro" w:cs="DINPro"/>
          <w:sz w:val="18"/>
          <w:szCs w:val="18"/>
        </w:rPr>
        <w:t xml:space="preserve">, имплантируемых </w:t>
      </w:r>
      <w:proofErr w:type="spellStart"/>
      <w:r>
        <w:rPr>
          <w:rFonts w:ascii="DINPro" w:hAnsi="DINPro" w:cs="DINPro"/>
          <w:sz w:val="18"/>
          <w:szCs w:val="18"/>
        </w:rPr>
        <w:t>кардиовер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теров</w:t>
      </w:r>
      <w:proofErr w:type="spellEnd"/>
      <w:r>
        <w:rPr>
          <w:rFonts w:ascii="DINPro" w:hAnsi="DINPro" w:cs="DINPro"/>
          <w:sz w:val="18"/>
          <w:szCs w:val="18"/>
        </w:rPr>
        <w:t xml:space="preserve">-дефибрилляторов, </w:t>
      </w:r>
      <w:proofErr w:type="spellStart"/>
      <w:r>
        <w:rPr>
          <w:rFonts w:ascii="DINPro" w:hAnsi="DINPro" w:cs="DINPro"/>
          <w:sz w:val="18"/>
          <w:szCs w:val="18"/>
        </w:rPr>
        <w:t>катетерной</w:t>
      </w:r>
      <w:proofErr w:type="spellEnd"/>
      <w:r>
        <w:rPr>
          <w:rFonts w:ascii="DINPro" w:hAnsi="DINPro" w:cs="DINPro"/>
          <w:sz w:val="18"/>
          <w:szCs w:val="18"/>
        </w:rPr>
        <w:t xml:space="preserve"> абляции, имплантируемых программированных устройств для </w:t>
      </w:r>
      <w:proofErr w:type="spellStart"/>
      <w:r>
        <w:rPr>
          <w:rFonts w:ascii="DINPro" w:hAnsi="DINPro" w:cs="DINPro"/>
          <w:sz w:val="18"/>
          <w:szCs w:val="18"/>
        </w:rPr>
        <w:t>антитахи</w:t>
      </w:r>
      <w:proofErr w:type="spellEnd"/>
      <w:r>
        <w:rPr>
          <w:rFonts w:ascii="DINPro" w:hAnsi="DINPro" w:cs="DINPro"/>
          <w:sz w:val="18"/>
          <w:szCs w:val="18"/>
        </w:rPr>
        <w:t>-</w:t>
      </w:r>
    </w:p>
    <w:p w:rsidR="00A61075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proofErr w:type="spellStart"/>
      <w:r>
        <w:rPr>
          <w:rFonts w:ascii="DINPro" w:hAnsi="DINPro" w:cs="DINPro"/>
          <w:sz w:val="18"/>
          <w:szCs w:val="18"/>
        </w:rPr>
        <w:t>кардической</w:t>
      </w:r>
      <w:proofErr w:type="spellEnd"/>
      <w:r>
        <w:rPr>
          <w:rFonts w:ascii="DINPro" w:hAnsi="DINPro" w:cs="DINPro"/>
          <w:sz w:val="18"/>
          <w:szCs w:val="18"/>
        </w:rPr>
        <w:t xml:space="preserve"> стимуляции и левосторонней симпатической </w:t>
      </w:r>
      <w:proofErr w:type="spellStart"/>
      <w:r>
        <w:rPr>
          <w:rFonts w:ascii="DINPro" w:hAnsi="DINPro" w:cs="DINPro"/>
          <w:sz w:val="18"/>
          <w:szCs w:val="18"/>
        </w:rPr>
        <w:t>денервации</w:t>
      </w:r>
      <w:proofErr w:type="spellEnd"/>
      <w:r>
        <w:rPr>
          <w:rFonts w:ascii="DINPro" w:hAnsi="DINPro" w:cs="DINPro"/>
          <w:sz w:val="18"/>
          <w:szCs w:val="18"/>
        </w:rPr>
        <w:t xml:space="preserve"> сердца.</w:t>
      </w:r>
    </w:p>
    <w:p w:rsidR="006514B4" w:rsidRPr="006514B4" w:rsidRDefault="006514B4" w:rsidP="006514B4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bookmarkStart w:id="0" w:name="_GoBack"/>
      <w:bookmarkEnd w:id="0"/>
    </w:p>
    <w:sectPr w:rsidR="006514B4" w:rsidRPr="0065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01"/>
    <w:rsid w:val="00012756"/>
    <w:rsid w:val="006514B4"/>
    <w:rsid w:val="00A61075"/>
    <w:rsid w:val="00DB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F104C-B756-49D3-BA39-AB04A894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2023-09-12T08:51:00Z</dcterms:created>
  <dcterms:modified xsi:type="dcterms:W3CDTF">2023-09-12T08:51:00Z</dcterms:modified>
</cp:coreProperties>
</file>